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E34" w:rsidRDefault="00142E34" w:rsidP="00142E34">
      <w:pPr>
        <w:ind w:hanging="1452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                              ЛЕКЦИЯ 3</w:t>
      </w:r>
    </w:p>
    <w:p w:rsidR="00142E34" w:rsidRPr="004340D4" w:rsidRDefault="00142E34" w:rsidP="00142E34">
      <w:pPr>
        <w:rPr>
          <w:b/>
          <w:sz w:val="16"/>
          <w:szCs w:val="16"/>
        </w:rPr>
      </w:pPr>
      <w:r>
        <w:rPr>
          <w:b/>
          <w:sz w:val="30"/>
          <w:szCs w:val="30"/>
        </w:rPr>
        <w:t xml:space="preserve">            </w:t>
      </w:r>
    </w:p>
    <w:p w:rsidR="00142E34" w:rsidRDefault="00142E34" w:rsidP="00142E34">
      <w:pPr>
        <w:ind w:hanging="1452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                     </w:t>
      </w:r>
      <w:r w:rsidRPr="00142E34">
        <w:rPr>
          <w:b/>
          <w:sz w:val="30"/>
          <w:szCs w:val="30"/>
        </w:rPr>
        <w:t>Питание растений. Поступление питательных элементов</w:t>
      </w:r>
    </w:p>
    <w:p w:rsidR="00142E34" w:rsidRPr="00E17257" w:rsidRDefault="00142E34" w:rsidP="00142E34">
      <w:pPr>
        <w:ind w:hanging="1452"/>
        <w:jc w:val="center"/>
        <w:rPr>
          <w:b/>
          <w:sz w:val="30"/>
          <w:szCs w:val="30"/>
        </w:rPr>
      </w:pPr>
      <w:r w:rsidRPr="00142E34">
        <w:rPr>
          <w:b/>
          <w:sz w:val="30"/>
          <w:szCs w:val="30"/>
        </w:rPr>
        <w:t>в листья и корни</w:t>
      </w:r>
    </w:p>
    <w:p w:rsidR="00142E34" w:rsidRPr="00B578EA" w:rsidRDefault="00142E34" w:rsidP="00142E34">
      <w:pPr>
        <w:ind w:hanging="1452"/>
        <w:jc w:val="center"/>
        <w:rPr>
          <w:b/>
          <w:sz w:val="16"/>
          <w:szCs w:val="16"/>
        </w:rPr>
      </w:pP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Питание растений – это один из важнейших факторов их жизни, </w:t>
      </w:r>
      <w:proofErr w:type="gramStart"/>
      <w:r w:rsidRPr="00E17257">
        <w:rPr>
          <w:sz w:val="30"/>
          <w:szCs w:val="30"/>
        </w:rPr>
        <w:t>при</w:t>
      </w:r>
      <w:proofErr w:type="gramEnd"/>
      <w:r w:rsidRPr="00E17257">
        <w:rPr>
          <w:sz w:val="30"/>
          <w:szCs w:val="30"/>
        </w:rPr>
        <w:t xml:space="preserve"> котором происходит обмен веществ между растением и окружающей средой: неорганические вещества почвы, атмосферы и воды поступает в растение, где используется в синтезе сложных органических соединений, а ряд веществ выводится из растительного организма в окружающую среду.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Зеленые растения из углекислого газа, воды и простых минеральных солей с помощью солнечной энергии и многочисленных ферментов образуют сложнейшие органические вещества, которые в свою очередь являются пищей для человека и животных. В процессе питания вся зеленая растительность в дневное время выделяет огромное количество кислорода, которым дышат все живые организмы. Вот почему вся жизнь на земле обусловлена созидательной работой высших и низших растений.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Зеленые растения земного шара ежегодно образуют в пересчете на глюкозу до 400 млрд. тонн свежих органических веществ, в том числе 115 млрд. тонн на суше. При этом связывается до 170 млрд. тонн СО</w:t>
      </w:r>
      <w:proofErr w:type="gramStart"/>
      <w:r w:rsidRPr="00E17257">
        <w:rPr>
          <w:sz w:val="30"/>
          <w:szCs w:val="30"/>
        </w:rPr>
        <w:t>2</w:t>
      </w:r>
      <w:proofErr w:type="gramEnd"/>
      <w:r w:rsidRPr="00E17257">
        <w:rPr>
          <w:sz w:val="30"/>
          <w:szCs w:val="30"/>
        </w:rPr>
        <w:t xml:space="preserve"> и разлагается при фотолизе в растениях до 130 млрд. тонн воды с выделением 115 млрд. тонн свободного кислорода.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Для синтеза органического вещества на земле растения используют до 2 млрд. тонн азота и 6 млрд. тонн зольных элементов. Запасы азота в атмосфере достигают 4 ∙ 10</w:t>
      </w:r>
      <w:r w:rsidRPr="00E17257">
        <w:rPr>
          <w:sz w:val="30"/>
          <w:szCs w:val="30"/>
          <w:vertAlign w:val="superscript"/>
        </w:rPr>
        <w:t>15</w:t>
      </w:r>
      <w:r w:rsidRPr="00E17257">
        <w:rPr>
          <w:sz w:val="30"/>
          <w:szCs w:val="30"/>
        </w:rPr>
        <w:t xml:space="preserve"> т, но они не определяют обеспеченность с.-х. культур этим элементом, потому что растения используют в основном азот почвы, а не атмосферы. В связи с этим продуктивность растений определяется наличием минеральных соединений азота в почве.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Все зольные элементы практически полностью потребляются растениями из почвы, поэтому оптимизация их содержания в почве в доступной для растений форме является одной из важнейших задач агрохимии.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Вода необходима растениям в процессе питания не только для фотолиза, но и в значительно большем количестве для испарения листьями. При образовании 1 </w:t>
      </w:r>
      <w:proofErr w:type="spellStart"/>
      <w:r w:rsidRPr="00E17257">
        <w:rPr>
          <w:sz w:val="30"/>
          <w:szCs w:val="30"/>
        </w:rPr>
        <w:t>ц</w:t>
      </w:r>
      <w:proofErr w:type="spellEnd"/>
      <w:r w:rsidRPr="00E17257">
        <w:rPr>
          <w:sz w:val="30"/>
          <w:szCs w:val="30"/>
        </w:rPr>
        <w:t xml:space="preserve"> сухой массы урожая за время вегетации с.-х. культуры испаряют 300-400 </w:t>
      </w:r>
      <w:proofErr w:type="spellStart"/>
      <w:r w:rsidRPr="00E17257">
        <w:rPr>
          <w:sz w:val="30"/>
          <w:szCs w:val="30"/>
        </w:rPr>
        <w:t>ц</w:t>
      </w:r>
      <w:proofErr w:type="spellEnd"/>
      <w:r w:rsidRPr="00E17257">
        <w:rPr>
          <w:sz w:val="30"/>
          <w:szCs w:val="30"/>
        </w:rPr>
        <w:t xml:space="preserve"> воды. Эту величину называют коэффициентом транспирации, который при неблагоприятных условиях развития растений может увеличиваться в 1,5-2,0 раза, а в благоприятных условиях снижается на 15-20%.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lastRenderedPageBreak/>
        <w:t xml:space="preserve">Существуют два типа питания живых организмов: автотрофный и гетеротрофный. Автотрофный – усвоение минеральных солей, воды и углекислого газа растениями и синтез из них органического вещества. </w:t>
      </w:r>
      <w:proofErr w:type="gramStart"/>
      <w:r w:rsidRPr="00E17257">
        <w:rPr>
          <w:sz w:val="30"/>
          <w:szCs w:val="30"/>
        </w:rPr>
        <w:t>Гетеротрофный</w:t>
      </w:r>
      <w:proofErr w:type="gramEnd"/>
      <w:r w:rsidRPr="00E17257">
        <w:rPr>
          <w:sz w:val="30"/>
          <w:szCs w:val="30"/>
        </w:rPr>
        <w:t xml:space="preserve"> – использование готовых органических веществ животными и большинством микроорганизмов.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proofErr w:type="gramStart"/>
      <w:r w:rsidRPr="00E17257">
        <w:rPr>
          <w:sz w:val="30"/>
          <w:szCs w:val="30"/>
        </w:rPr>
        <w:t>Кроме того, питание растений подразделяется на воздушное (фотосинтез) и корневое, о чем мы постараемся рассказать по порядку.</w:t>
      </w:r>
      <w:proofErr w:type="gramEnd"/>
    </w:p>
    <w:p w:rsidR="00142E34" w:rsidRPr="00B578EA" w:rsidRDefault="00142E34" w:rsidP="00142E34">
      <w:pPr>
        <w:ind w:firstLine="708"/>
        <w:jc w:val="both"/>
        <w:rPr>
          <w:sz w:val="16"/>
          <w:szCs w:val="16"/>
        </w:rPr>
      </w:pPr>
    </w:p>
    <w:p w:rsidR="00142E34" w:rsidRPr="00E17257" w:rsidRDefault="00142E34" w:rsidP="00142E34">
      <w:pPr>
        <w:ind w:firstLine="708"/>
        <w:jc w:val="center"/>
        <w:rPr>
          <w:b/>
          <w:sz w:val="30"/>
          <w:szCs w:val="30"/>
        </w:rPr>
      </w:pPr>
      <w:r w:rsidRPr="00E17257">
        <w:rPr>
          <w:b/>
          <w:sz w:val="30"/>
          <w:szCs w:val="30"/>
        </w:rPr>
        <w:t>Воздушное питание растений (фотосинтез)</w:t>
      </w:r>
    </w:p>
    <w:p w:rsidR="00142E34" w:rsidRPr="00B578EA" w:rsidRDefault="00142E34" w:rsidP="00142E34">
      <w:pPr>
        <w:ind w:firstLine="708"/>
        <w:jc w:val="center"/>
        <w:rPr>
          <w:b/>
          <w:sz w:val="16"/>
          <w:szCs w:val="16"/>
        </w:rPr>
      </w:pP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Фотосинтез – это процесс образования простых углеводов растениями из углекислоты (СО</w:t>
      </w:r>
      <w:proofErr w:type="gramStart"/>
      <w:r w:rsidRPr="00E17257">
        <w:rPr>
          <w:sz w:val="30"/>
          <w:szCs w:val="30"/>
        </w:rPr>
        <w:t>2</w:t>
      </w:r>
      <w:proofErr w:type="gramEnd"/>
      <w:r w:rsidRPr="00E17257">
        <w:rPr>
          <w:sz w:val="30"/>
          <w:szCs w:val="30"/>
        </w:rPr>
        <w:t>) атмосферы и воды почвы при участии солнечных лучей. Кроме того, фотосинтез является первоисточником энергии, необходимой для поступления минеральных веще</w:t>
      </w:r>
      <w:proofErr w:type="gramStart"/>
      <w:r w:rsidRPr="00E17257">
        <w:rPr>
          <w:sz w:val="30"/>
          <w:szCs w:val="30"/>
        </w:rPr>
        <w:t>ств дл</w:t>
      </w:r>
      <w:proofErr w:type="gramEnd"/>
      <w:r w:rsidRPr="00E17257">
        <w:rPr>
          <w:sz w:val="30"/>
          <w:szCs w:val="30"/>
        </w:rPr>
        <w:t>я поступления минеральных веществ через корни и передвижения их по растению.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На световой стадии фотосинтеза происходит реакция разложения воды с выделением кислорода и образованием богатого энергией АТФ и восстановлению продуктов, которые на следующей </w:t>
      </w:r>
      <w:proofErr w:type="spellStart"/>
      <w:r w:rsidRPr="00E17257">
        <w:rPr>
          <w:sz w:val="30"/>
          <w:szCs w:val="30"/>
        </w:rPr>
        <w:t>темновой</w:t>
      </w:r>
      <w:proofErr w:type="spellEnd"/>
      <w:r w:rsidRPr="00E17257">
        <w:rPr>
          <w:sz w:val="30"/>
          <w:szCs w:val="30"/>
        </w:rPr>
        <w:t xml:space="preserve"> стадии участвуют в синтезе углеводов и других органических соединений.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При образовании простых углеводов (</w:t>
      </w:r>
      <w:proofErr w:type="spellStart"/>
      <w:r w:rsidRPr="00E17257">
        <w:rPr>
          <w:sz w:val="30"/>
          <w:szCs w:val="30"/>
        </w:rPr>
        <w:t>гексаз</w:t>
      </w:r>
      <w:proofErr w:type="spellEnd"/>
      <w:r w:rsidRPr="00E17257">
        <w:rPr>
          <w:sz w:val="30"/>
          <w:szCs w:val="30"/>
        </w:rPr>
        <w:t>) суммарное уравнение фотосинтеза выглядит так:</w:t>
      </w:r>
    </w:p>
    <w:p w:rsidR="00142E34" w:rsidRPr="00E17257" w:rsidRDefault="00142E34" w:rsidP="00142E34">
      <w:pPr>
        <w:ind w:firstLine="708"/>
        <w:jc w:val="center"/>
        <w:rPr>
          <w:b/>
          <w:i/>
          <w:sz w:val="30"/>
          <w:szCs w:val="30"/>
        </w:rPr>
      </w:pPr>
      <w:r w:rsidRPr="00E17257">
        <w:rPr>
          <w:b/>
          <w:i/>
          <w:sz w:val="30"/>
          <w:szCs w:val="30"/>
        </w:rPr>
        <w:t>6СО</w:t>
      </w:r>
      <w:r w:rsidRPr="00E17257">
        <w:rPr>
          <w:b/>
          <w:i/>
          <w:sz w:val="30"/>
          <w:szCs w:val="30"/>
          <w:vertAlign w:val="subscript"/>
        </w:rPr>
        <w:t>2</w:t>
      </w:r>
      <w:r w:rsidRPr="00E17257">
        <w:rPr>
          <w:b/>
          <w:i/>
          <w:sz w:val="30"/>
          <w:szCs w:val="30"/>
        </w:rPr>
        <w:t xml:space="preserve"> + 6Н</w:t>
      </w:r>
      <w:r w:rsidRPr="00E17257">
        <w:rPr>
          <w:b/>
          <w:i/>
          <w:sz w:val="30"/>
          <w:szCs w:val="30"/>
          <w:vertAlign w:val="subscript"/>
        </w:rPr>
        <w:t>2</w:t>
      </w:r>
      <w:r w:rsidRPr="00E17257">
        <w:rPr>
          <w:b/>
          <w:i/>
          <w:sz w:val="30"/>
          <w:szCs w:val="30"/>
        </w:rPr>
        <w:t>О + 2874 кДж → С</w:t>
      </w:r>
      <w:r w:rsidRPr="00E17257">
        <w:rPr>
          <w:b/>
          <w:i/>
          <w:sz w:val="30"/>
          <w:szCs w:val="30"/>
          <w:vertAlign w:val="subscript"/>
        </w:rPr>
        <w:t>6</w:t>
      </w:r>
      <w:r w:rsidRPr="00E17257">
        <w:rPr>
          <w:b/>
          <w:i/>
          <w:sz w:val="30"/>
          <w:szCs w:val="30"/>
        </w:rPr>
        <w:t>Н</w:t>
      </w:r>
      <w:r w:rsidRPr="00E17257">
        <w:rPr>
          <w:b/>
          <w:i/>
          <w:sz w:val="30"/>
          <w:szCs w:val="30"/>
          <w:vertAlign w:val="subscript"/>
        </w:rPr>
        <w:t>12</w:t>
      </w:r>
      <w:r w:rsidRPr="00E17257">
        <w:rPr>
          <w:b/>
          <w:i/>
          <w:sz w:val="30"/>
          <w:szCs w:val="30"/>
        </w:rPr>
        <w:t>О</w:t>
      </w:r>
      <w:r w:rsidRPr="00E17257">
        <w:rPr>
          <w:b/>
          <w:i/>
          <w:sz w:val="30"/>
          <w:szCs w:val="30"/>
          <w:vertAlign w:val="subscript"/>
        </w:rPr>
        <w:t>6</w:t>
      </w:r>
      <w:r w:rsidRPr="00E17257">
        <w:rPr>
          <w:b/>
          <w:i/>
          <w:sz w:val="30"/>
          <w:szCs w:val="30"/>
        </w:rPr>
        <w:t xml:space="preserve"> + 6О</w:t>
      </w:r>
      <w:r w:rsidRPr="00E17257">
        <w:rPr>
          <w:b/>
          <w:i/>
          <w:sz w:val="30"/>
          <w:szCs w:val="30"/>
          <w:vertAlign w:val="subscript"/>
        </w:rPr>
        <w:t>2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Путем дальнейших превращений из простых углеводов в растениях образуются более сложные углеводы (сахара, крахмал, клетчатка) и другие органические соединения. Синтез аминокислот, белка и других азотсодержащих органических соединений осуществляется за счет минеральных соединений азота (фосфора и серы) и промежуточных продуктов обмена (синтеза и разложения углеводов), природа которых пока до конца не ясна.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При воздушном питании растения синтезируют сложнейшие органические вещества из углекислого газа, поступающего из атмосферы через листья, воды  и минеральных солей, поглощаемых корнями из почвы. Каждое растение синтезирует одно или несколько органических веществ, которые представляют наибольший интерес для питания человека. Например, белок и крахмал – в зерновых и зернобобовых культурах, сахар – в сахарной свекле, жир – в подсолнечнике, клетчатка – в хлопчатнике, конопле и льне и так далее.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Направленность действия фотосинтетического аппарата зависит от видовых особенностей растений, их возраста, интенсивности и качества света, уровня азотного питания и др.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Образование органического вещества в процессе фотосинтеза происходит с поглощением большого количества  солнечной энергии. Однако лишь небольшая ее часть (2-5%), попадающая на поверхность вегетирующих растений, используется ими на синтез органических веществ. Остальная часть солнечной энергии используется на транспирацию, а также, отражаясь, бесследно теряется в атмосфере.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За период вегетации растение испаряет воды в 300-500 раз больше, чем вес его сухого урожая. На испарения листьями расходуется не менее 25, а в южных районах до 75-95% энергии солнечных лучей, попадающих на растение, что в 10-45 раз больше, чем запасается в урожае.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proofErr w:type="gramStart"/>
      <w:r w:rsidRPr="00E17257">
        <w:rPr>
          <w:sz w:val="30"/>
          <w:szCs w:val="30"/>
        </w:rPr>
        <w:t>Рассмотрим</w:t>
      </w:r>
      <w:proofErr w:type="gramEnd"/>
      <w:r w:rsidRPr="00E17257">
        <w:rPr>
          <w:sz w:val="30"/>
          <w:szCs w:val="30"/>
        </w:rPr>
        <w:t xml:space="preserve"> в какой форме в организме накапливается, переносится и используется энергия, необходимая для образования в растениях сложных органических веществ. Энергия, выделяемая в процессе окисления веществ, не превращается сразу в </w:t>
      </w:r>
      <w:proofErr w:type="gramStart"/>
      <w:r w:rsidRPr="00E17257">
        <w:rPr>
          <w:sz w:val="30"/>
          <w:szCs w:val="30"/>
        </w:rPr>
        <w:t>тепловую</w:t>
      </w:r>
      <w:proofErr w:type="gramEnd"/>
      <w:r w:rsidRPr="00E17257">
        <w:rPr>
          <w:sz w:val="30"/>
          <w:szCs w:val="30"/>
        </w:rPr>
        <w:t>, а переходит в особый вид химической энергии – в макроэргические фосфатные связи аденозинтрифосфорной кислоты (АТФ) и другие макроэргические соединения. Их можно разделить на две основные группы: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1. </w:t>
      </w:r>
      <w:proofErr w:type="spellStart"/>
      <w:r w:rsidRPr="00E17257">
        <w:rPr>
          <w:sz w:val="30"/>
          <w:szCs w:val="30"/>
        </w:rPr>
        <w:t>Глицефосфат</w:t>
      </w:r>
      <w:proofErr w:type="spellEnd"/>
      <w:r w:rsidRPr="00E17257">
        <w:rPr>
          <w:sz w:val="30"/>
          <w:szCs w:val="30"/>
        </w:rPr>
        <w:t>, 3-фосфоглицериновая кислота, глюкозо-6-фосфат и др. (величина свободной энергии гидролиза фосфатной связи 0,8-3,0 ккал на 1М);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2. Аденозинтрифосфорная кислота (АТФ) и аденозиндифосфорная кислота (АДФ), 1,3-дифосфоглицериновая кислота и др. (величина свободной энергии гидролиза фосфатной связи 6-16 ккал на 1М).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В живых организмах основное значение среди макроэргических соединений принадлежит аденозинтрифосфорной кислоте (АТФ), другие макроэргические соединения служат лишь промежуточными переносчиками энергии.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При регулировании условий выращивания растений ассимиляционная поверхность листьев может колебаться от 5 до 50 тыс</w:t>
      </w:r>
      <w:proofErr w:type="gramStart"/>
      <w:r w:rsidRPr="00E17257">
        <w:rPr>
          <w:sz w:val="30"/>
          <w:szCs w:val="30"/>
        </w:rPr>
        <w:t>.м</w:t>
      </w:r>
      <w:proofErr w:type="gramEnd"/>
      <w:r w:rsidRPr="00E17257">
        <w:rPr>
          <w:sz w:val="30"/>
          <w:szCs w:val="30"/>
        </w:rPr>
        <w:t xml:space="preserve">2 на </w:t>
      </w:r>
      <w:smartTag w:uri="urn:schemas-microsoft-com:office:smarttags" w:element="metricconverter">
        <w:smartTagPr>
          <w:attr w:name="ProductID" w:val="1 га"/>
        </w:smartTagPr>
        <w:r w:rsidRPr="00E17257">
          <w:rPr>
            <w:sz w:val="30"/>
            <w:szCs w:val="30"/>
          </w:rPr>
          <w:t>1 га</w:t>
        </w:r>
      </w:smartTag>
      <w:r w:rsidRPr="00E17257">
        <w:rPr>
          <w:sz w:val="30"/>
          <w:szCs w:val="30"/>
        </w:rPr>
        <w:t xml:space="preserve">. Изреженные посевы могут поглотить только 20-25% падающей на них </w:t>
      </w:r>
      <w:proofErr w:type="spellStart"/>
      <w:r w:rsidRPr="00E17257">
        <w:rPr>
          <w:sz w:val="30"/>
          <w:szCs w:val="30"/>
        </w:rPr>
        <w:t>фотосинтетически</w:t>
      </w:r>
      <w:proofErr w:type="spellEnd"/>
      <w:r w:rsidRPr="00E17257">
        <w:rPr>
          <w:sz w:val="30"/>
          <w:szCs w:val="30"/>
        </w:rPr>
        <w:t xml:space="preserve"> активной радиации, а используют на фотосинтез только 1-2% </w:t>
      </w:r>
      <w:proofErr w:type="gramStart"/>
      <w:r w:rsidRPr="00E17257">
        <w:rPr>
          <w:sz w:val="30"/>
          <w:szCs w:val="30"/>
        </w:rPr>
        <w:t>от</w:t>
      </w:r>
      <w:proofErr w:type="gramEnd"/>
      <w:r w:rsidRPr="00E17257">
        <w:rPr>
          <w:sz w:val="30"/>
          <w:szCs w:val="30"/>
        </w:rPr>
        <w:t xml:space="preserve"> поглощенной. Нормальные же посевы за вегетационный период могут поглощать 50-60% падающей на посевы </w:t>
      </w:r>
      <w:proofErr w:type="spellStart"/>
      <w:r w:rsidRPr="00E17257">
        <w:rPr>
          <w:sz w:val="30"/>
          <w:szCs w:val="30"/>
        </w:rPr>
        <w:t>фотосинтетически</w:t>
      </w:r>
      <w:proofErr w:type="spellEnd"/>
      <w:r w:rsidRPr="00E17257">
        <w:rPr>
          <w:sz w:val="30"/>
          <w:szCs w:val="30"/>
        </w:rPr>
        <w:t xml:space="preserve"> активной радиации и накапливают в органических веществах урожая 2-3% от поглощенной энергии.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Теоретически возможно использование 20-25% </w:t>
      </w:r>
      <w:proofErr w:type="spellStart"/>
      <w:r w:rsidRPr="00E17257">
        <w:rPr>
          <w:sz w:val="30"/>
          <w:szCs w:val="30"/>
        </w:rPr>
        <w:t>фотосинтетически</w:t>
      </w:r>
      <w:proofErr w:type="spellEnd"/>
      <w:r w:rsidRPr="00E17257">
        <w:rPr>
          <w:sz w:val="30"/>
          <w:szCs w:val="30"/>
        </w:rPr>
        <w:t xml:space="preserve"> активной радиации, поглощаемой листьями. </w:t>
      </w:r>
      <w:proofErr w:type="gramStart"/>
      <w:r w:rsidRPr="00E17257">
        <w:rPr>
          <w:sz w:val="30"/>
          <w:szCs w:val="30"/>
        </w:rPr>
        <w:t>Но если даже коэффициент использования поглощенной энергии на фотосинтез повысит до 6-8%, то расход воды на создание 1 т сухого вещества снизится с 400-500 до 75-100 т. Вот почему главной задачей генетиков и селекционеров считается создание сортов, обладающих высокой фотосинтетической способностью, а биологов, агрохимиков, агрономов и других специалистов агропромышленных условий выращивания, которые позволят наиболее эффективно реализовать возможности сортов с.-х</w:t>
      </w:r>
      <w:proofErr w:type="gramEnd"/>
      <w:r w:rsidRPr="00E17257">
        <w:rPr>
          <w:sz w:val="30"/>
          <w:szCs w:val="30"/>
        </w:rPr>
        <w:t>. культур.</w:t>
      </w:r>
    </w:p>
    <w:p w:rsidR="00142E34" w:rsidRPr="00B578EA" w:rsidRDefault="00142E34" w:rsidP="00142E34">
      <w:pPr>
        <w:ind w:firstLine="708"/>
        <w:jc w:val="both"/>
        <w:rPr>
          <w:sz w:val="16"/>
          <w:szCs w:val="16"/>
        </w:rPr>
      </w:pPr>
    </w:p>
    <w:p w:rsidR="00142E34" w:rsidRPr="00E17257" w:rsidRDefault="00142E34" w:rsidP="00142E34">
      <w:pPr>
        <w:ind w:firstLine="708"/>
        <w:jc w:val="center"/>
        <w:rPr>
          <w:b/>
          <w:sz w:val="30"/>
          <w:szCs w:val="30"/>
        </w:rPr>
      </w:pPr>
      <w:r w:rsidRPr="00E17257">
        <w:rPr>
          <w:b/>
          <w:sz w:val="30"/>
          <w:szCs w:val="30"/>
        </w:rPr>
        <w:t>Корневое питание</w:t>
      </w:r>
    </w:p>
    <w:p w:rsidR="00142E34" w:rsidRPr="00B578EA" w:rsidRDefault="00142E34" w:rsidP="00142E34">
      <w:pPr>
        <w:ind w:firstLine="708"/>
        <w:jc w:val="center"/>
        <w:rPr>
          <w:b/>
          <w:sz w:val="16"/>
          <w:szCs w:val="16"/>
        </w:rPr>
      </w:pP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Азот и зольные элементы поглощаются из почвы деятельной частью корневой системы растений в виде ионов (анионов или катионов). Так, азот может поглощаться в виде аниона </w:t>
      </w:r>
      <w:r w:rsidRPr="00E17257">
        <w:rPr>
          <w:sz w:val="30"/>
          <w:szCs w:val="30"/>
          <w:lang w:val="en-US"/>
        </w:rPr>
        <w:t>N</w:t>
      </w:r>
      <w:r w:rsidRPr="00E17257">
        <w:rPr>
          <w:sz w:val="30"/>
          <w:szCs w:val="30"/>
        </w:rPr>
        <w:t>О</w:t>
      </w:r>
      <w:r w:rsidRPr="00E17257">
        <w:rPr>
          <w:sz w:val="30"/>
          <w:szCs w:val="30"/>
          <w:vertAlign w:val="subscript"/>
        </w:rPr>
        <w:t>3</w:t>
      </w:r>
      <w:r w:rsidRPr="00E17257">
        <w:rPr>
          <w:sz w:val="30"/>
          <w:szCs w:val="30"/>
          <w:vertAlign w:val="superscript"/>
        </w:rPr>
        <w:t>-</w:t>
      </w:r>
      <w:r w:rsidRPr="00E17257">
        <w:rPr>
          <w:sz w:val="30"/>
          <w:szCs w:val="30"/>
        </w:rPr>
        <w:t xml:space="preserve"> и катиона </w:t>
      </w:r>
      <w:r w:rsidRPr="00E17257">
        <w:rPr>
          <w:sz w:val="30"/>
          <w:szCs w:val="30"/>
          <w:lang w:val="en-US"/>
        </w:rPr>
        <w:t>N</w:t>
      </w:r>
      <w:r w:rsidRPr="00E17257">
        <w:rPr>
          <w:sz w:val="30"/>
          <w:szCs w:val="30"/>
        </w:rPr>
        <w:t>Н</w:t>
      </w:r>
      <w:r w:rsidRPr="00E17257">
        <w:rPr>
          <w:sz w:val="30"/>
          <w:szCs w:val="30"/>
          <w:vertAlign w:val="subscript"/>
        </w:rPr>
        <w:t>4</w:t>
      </w:r>
      <w:r w:rsidRPr="00E17257">
        <w:rPr>
          <w:sz w:val="30"/>
          <w:szCs w:val="30"/>
          <w:vertAlign w:val="superscript"/>
        </w:rPr>
        <w:t>+</w:t>
      </w:r>
      <w:r w:rsidRPr="00E17257">
        <w:rPr>
          <w:sz w:val="30"/>
          <w:szCs w:val="30"/>
        </w:rPr>
        <w:t>. Только бобовые растения способны в симбиозе с клубеньковыми бактериями усваивать молекулярный азот атмосферы. Фосфор и сера усваиваются в виде анионов фосфорной и серной кислот – Н</w:t>
      </w:r>
      <w:r w:rsidRPr="00E17257">
        <w:rPr>
          <w:sz w:val="30"/>
          <w:szCs w:val="30"/>
          <w:vertAlign w:val="subscript"/>
        </w:rPr>
        <w:t>2</w:t>
      </w:r>
      <w:r w:rsidRPr="00E17257">
        <w:rPr>
          <w:sz w:val="30"/>
          <w:szCs w:val="30"/>
        </w:rPr>
        <w:t>РО</w:t>
      </w:r>
      <w:r w:rsidRPr="00E17257">
        <w:rPr>
          <w:sz w:val="30"/>
          <w:szCs w:val="30"/>
          <w:vertAlign w:val="subscript"/>
        </w:rPr>
        <w:t>4</w:t>
      </w:r>
      <w:r w:rsidRPr="00E17257">
        <w:rPr>
          <w:sz w:val="30"/>
          <w:szCs w:val="30"/>
          <w:vertAlign w:val="superscript"/>
        </w:rPr>
        <w:t>-</w:t>
      </w:r>
      <w:r w:rsidRPr="00E17257">
        <w:rPr>
          <w:sz w:val="30"/>
          <w:szCs w:val="30"/>
        </w:rPr>
        <w:t xml:space="preserve"> и </w:t>
      </w:r>
      <w:r w:rsidRPr="00E17257">
        <w:rPr>
          <w:sz w:val="30"/>
          <w:szCs w:val="30"/>
          <w:lang w:val="en-US"/>
        </w:rPr>
        <w:t>S</w:t>
      </w:r>
      <w:r w:rsidRPr="00E17257">
        <w:rPr>
          <w:sz w:val="30"/>
          <w:szCs w:val="30"/>
        </w:rPr>
        <w:t>О</w:t>
      </w:r>
      <w:r w:rsidRPr="00E17257">
        <w:rPr>
          <w:sz w:val="30"/>
          <w:szCs w:val="30"/>
          <w:vertAlign w:val="subscript"/>
        </w:rPr>
        <w:t>4</w:t>
      </w:r>
      <w:r w:rsidRPr="00E17257">
        <w:rPr>
          <w:sz w:val="30"/>
          <w:szCs w:val="30"/>
          <w:vertAlign w:val="superscript"/>
        </w:rPr>
        <w:t>-</w:t>
      </w:r>
      <w:r w:rsidRPr="00E17257">
        <w:rPr>
          <w:sz w:val="30"/>
          <w:szCs w:val="30"/>
        </w:rPr>
        <w:t xml:space="preserve">. Калий, кальций, магний, натрий, железо в виде катионов </w:t>
      </w:r>
      <w:r w:rsidRPr="00E17257">
        <w:rPr>
          <w:sz w:val="30"/>
          <w:szCs w:val="30"/>
          <w:lang w:val="en-US"/>
        </w:rPr>
        <w:t>K</w:t>
      </w:r>
      <w:r w:rsidRPr="00E17257">
        <w:rPr>
          <w:sz w:val="30"/>
          <w:szCs w:val="30"/>
          <w:vertAlign w:val="superscript"/>
        </w:rPr>
        <w:t>+</w:t>
      </w:r>
      <w:r w:rsidRPr="00E17257">
        <w:rPr>
          <w:sz w:val="30"/>
          <w:szCs w:val="30"/>
        </w:rPr>
        <w:t xml:space="preserve">, </w:t>
      </w:r>
      <w:r w:rsidRPr="00E17257">
        <w:rPr>
          <w:sz w:val="30"/>
          <w:szCs w:val="30"/>
          <w:lang w:val="en-US"/>
        </w:rPr>
        <w:t>Ca</w:t>
      </w:r>
      <w:r w:rsidRPr="00E17257">
        <w:rPr>
          <w:sz w:val="30"/>
          <w:szCs w:val="30"/>
          <w:vertAlign w:val="superscript"/>
        </w:rPr>
        <w:t>+</w:t>
      </w:r>
      <w:r w:rsidRPr="00E17257">
        <w:rPr>
          <w:sz w:val="30"/>
          <w:szCs w:val="30"/>
        </w:rPr>
        <w:t xml:space="preserve">, </w:t>
      </w:r>
      <w:r w:rsidRPr="00E17257">
        <w:rPr>
          <w:sz w:val="30"/>
          <w:szCs w:val="30"/>
          <w:lang w:val="en-US"/>
        </w:rPr>
        <w:t>Mg</w:t>
      </w:r>
      <w:r w:rsidRPr="00E17257">
        <w:rPr>
          <w:sz w:val="30"/>
          <w:szCs w:val="30"/>
          <w:vertAlign w:val="superscript"/>
        </w:rPr>
        <w:t>+</w:t>
      </w:r>
      <w:r w:rsidRPr="00E17257">
        <w:rPr>
          <w:sz w:val="30"/>
          <w:szCs w:val="30"/>
        </w:rPr>
        <w:t xml:space="preserve">, </w:t>
      </w:r>
      <w:r w:rsidRPr="00E17257">
        <w:rPr>
          <w:sz w:val="30"/>
          <w:szCs w:val="30"/>
          <w:lang w:val="en-US"/>
        </w:rPr>
        <w:t>Na</w:t>
      </w:r>
      <w:r w:rsidRPr="00E17257">
        <w:rPr>
          <w:sz w:val="30"/>
          <w:szCs w:val="30"/>
          <w:vertAlign w:val="superscript"/>
        </w:rPr>
        <w:t>+</w:t>
      </w:r>
      <w:r w:rsidRPr="00E17257">
        <w:rPr>
          <w:sz w:val="30"/>
          <w:szCs w:val="30"/>
        </w:rPr>
        <w:t xml:space="preserve">, </w:t>
      </w:r>
      <w:r w:rsidRPr="00E17257">
        <w:rPr>
          <w:sz w:val="30"/>
          <w:szCs w:val="30"/>
          <w:lang w:val="en-US"/>
        </w:rPr>
        <w:t>Fe</w:t>
      </w:r>
      <w:r w:rsidRPr="00E17257">
        <w:rPr>
          <w:sz w:val="30"/>
          <w:szCs w:val="30"/>
        </w:rPr>
        <w:t>, а микроэлементы в виде соответствующих катионов или анионов МО, В, С</w:t>
      </w:r>
      <w:proofErr w:type="gramStart"/>
      <w:r w:rsidRPr="00E17257">
        <w:rPr>
          <w:sz w:val="30"/>
          <w:szCs w:val="30"/>
          <w:lang w:val="en-US"/>
        </w:rPr>
        <w:t>u</w:t>
      </w:r>
      <w:proofErr w:type="gramEnd"/>
      <w:r w:rsidRPr="00E17257">
        <w:rPr>
          <w:sz w:val="30"/>
          <w:szCs w:val="30"/>
        </w:rPr>
        <w:t xml:space="preserve">, </w:t>
      </w:r>
      <w:r w:rsidRPr="00E17257">
        <w:rPr>
          <w:sz w:val="30"/>
          <w:szCs w:val="30"/>
          <w:lang w:val="en-US"/>
        </w:rPr>
        <w:t>Zn</w:t>
      </w:r>
      <w:r w:rsidRPr="00E17257">
        <w:rPr>
          <w:sz w:val="30"/>
          <w:szCs w:val="30"/>
        </w:rPr>
        <w:t xml:space="preserve">, </w:t>
      </w:r>
      <w:r w:rsidRPr="00E17257">
        <w:rPr>
          <w:sz w:val="30"/>
          <w:szCs w:val="30"/>
          <w:lang w:val="en-US"/>
        </w:rPr>
        <w:t>Co</w:t>
      </w:r>
      <w:r w:rsidRPr="00E17257">
        <w:rPr>
          <w:sz w:val="30"/>
          <w:szCs w:val="30"/>
        </w:rPr>
        <w:t xml:space="preserve">, </w:t>
      </w:r>
      <w:proofErr w:type="spellStart"/>
      <w:r w:rsidRPr="00E17257">
        <w:rPr>
          <w:sz w:val="30"/>
          <w:szCs w:val="30"/>
          <w:lang w:val="en-US"/>
        </w:rPr>
        <w:t>Mn</w:t>
      </w:r>
      <w:proofErr w:type="spellEnd"/>
      <w:r w:rsidRPr="00E17257">
        <w:rPr>
          <w:sz w:val="30"/>
          <w:szCs w:val="30"/>
        </w:rPr>
        <w:t>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Растения усваивают ионы не только из почвенного раствора, но и ионы, поглощенные почвенными коллоидами. Более того, растения активно воздействуют корневыми выделениями на твердую фазу почвы, переводя необходимые питательные вещества в доступную форму.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Корневая система растений и ее поглотительная способность.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Мощность корневой системы, ее строение и характер распределения в почве у разных видов растений резко различаются. Но активная часть корней, благодаря которой происходит поглощение элементов минерального питания из почвы, у всех видов растений представлена молодым растущими корешками.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По мере нарастания каждого отдельного корешка верхняя его часть утолщается, покрывается снаружи </w:t>
      </w:r>
      <w:proofErr w:type="spellStart"/>
      <w:r w:rsidRPr="00E17257">
        <w:rPr>
          <w:sz w:val="30"/>
          <w:szCs w:val="30"/>
        </w:rPr>
        <w:t>опробковевшей</w:t>
      </w:r>
      <w:proofErr w:type="spellEnd"/>
      <w:r w:rsidRPr="00E17257">
        <w:rPr>
          <w:sz w:val="30"/>
          <w:szCs w:val="30"/>
        </w:rPr>
        <w:t xml:space="preserve"> тканью и теряет способность к поглощению питательных веществ. Рост корня происходит у самого его кончика, защищенного корневым чехликом. В непосредственной близости к окончанию корешков располагается зона делящихся </w:t>
      </w:r>
      <w:proofErr w:type="spellStart"/>
      <w:r w:rsidRPr="00E17257">
        <w:rPr>
          <w:sz w:val="30"/>
          <w:szCs w:val="30"/>
        </w:rPr>
        <w:t>меристематических</w:t>
      </w:r>
      <w:proofErr w:type="spellEnd"/>
      <w:r w:rsidRPr="00E17257">
        <w:rPr>
          <w:sz w:val="30"/>
          <w:szCs w:val="30"/>
        </w:rPr>
        <w:t xml:space="preserve"> клеток. Выше ее находится зона растяжения, в которой наряду с увеличением объема клеток и образованием в них центральной вакуоли начинается дифференциация тканей с формированием флоэмы – нисходящей части сосудистой – проводящей системы растений, по которой происходит передвижение органических веществ из надземных органов в корень.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На расстоянии 1-</w:t>
      </w:r>
      <w:smartTag w:uri="urn:schemas-microsoft-com:office:smarttags" w:element="metricconverter">
        <w:smartTagPr>
          <w:attr w:name="ProductID" w:val="3 мм"/>
        </w:smartTagPr>
        <w:r w:rsidRPr="00E17257">
          <w:rPr>
            <w:sz w:val="30"/>
            <w:szCs w:val="30"/>
          </w:rPr>
          <w:t>3 мм</w:t>
        </w:r>
      </w:smartTag>
      <w:r w:rsidRPr="00E17257">
        <w:rPr>
          <w:sz w:val="30"/>
          <w:szCs w:val="30"/>
        </w:rPr>
        <w:t xml:space="preserve"> от кончика растущего корешка находится зона образования корневых волосков. В этой зоне завершается формирование и восходящей части проводящей системы – ксилемы, по которой осуществляется передвижение воды, части поглощенных ионов и синтезированных в корнях органических соединений от корня в надземную часть растений.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Корневые волоски представляют собой тонкие выросты наружных клеток с диаметром 5-72 мкм (1 мкм = 1 ∙ 10</w:t>
      </w:r>
      <w:r w:rsidRPr="00E17257">
        <w:rPr>
          <w:sz w:val="30"/>
          <w:szCs w:val="30"/>
          <w:vertAlign w:val="superscript"/>
        </w:rPr>
        <w:t>-6</w:t>
      </w:r>
      <w:r w:rsidRPr="00E17257">
        <w:rPr>
          <w:sz w:val="30"/>
          <w:szCs w:val="30"/>
        </w:rPr>
        <w:t xml:space="preserve">м) длиной 80-1500 мкм, а число нескольких </w:t>
      </w:r>
      <w:proofErr w:type="gramStart"/>
      <w:r w:rsidRPr="00E17257">
        <w:rPr>
          <w:sz w:val="30"/>
          <w:szCs w:val="30"/>
        </w:rPr>
        <w:t>сотен</w:t>
      </w:r>
      <w:proofErr w:type="gramEnd"/>
      <w:r w:rsidRPr="00E17257">
        <w:rPr>
          <w:sz w:val="30"/>
          <w:szCs w:val="30"/>
        </w:rPr>
        <w:t xml:space="preserve"> поэтому деятельная, способная к поглощению питательных элементов поверхность корневой системы, увеличивается в десятки раз (таблица 1).</w:t>
      </w:r>
    </w:p>
    <w:p w:rsidR="00142E34" w:rsidRPr="001130E4" w:rsidRDefault="00142E34" w:rsidP="00142E34">
      <w:pPr>
        <w:ind w:firstLine="708"/>
        <w:jc w:val="both"/>
        <w:rPr>
          <w:sz w:val="16"/>
          <w:szCs w:val="16"/>
        </w:rPr>
      </w:pPr>
    </w:p>
    <w:p w:rsidR="00142E34" w:rsidRPr="00E17257" w:rsidRDefault="00142E34" w:rsidP="00142E34">
      <w:pPr>
        <w:ind w:firstLine="708"/>
        <w:rPr>
          <w:sz w:val="30"/>
          <w:szCs w:val="30"/>
        </w:rPr>
      </w:pPr>
      <w:r w:rsidRPr="00E17257">
        <w:rPr>
          <w:sz w:val="30"/>
          <w:szCs w:val="30"/>
        </w:rPr>
        <w:t>Таблица 1</w:t>
      </w:r>
    </w:p>
    <w:p w:rsidR="00142E34" w:rsidRDefault="00142E34" w:rsidP="00142E34">
      <w:pPr>
        <w:ind w:firstLine="708"/>
        <w:jc w:val="center"/>
        <w:rPr>
          <w:sz w:val="30"/>
          <w:szCs w:val="30"/>
        </w:rPr>
      </w:pPr>
      <w:r w:rsidRPr="00E17257">
        <w:rPr>
          <w:sz w:val="30"/>
          <w:szCs w:val="30"/>
        </w:rPr>
        <w:t>Развитие корней и корневых волосков у различных культур</w:t>
      </w:r>
    </w:p>
    <w:p w:rsidR="00142E34" w:rsidRPr="001130E4" w:rsidRDefault="00142E34" w:rsidP="00142E34">
      <w:pPr>
        <w:ind w:firstLine="708"/>
        <w:jc w:val="center"/>
        <w:rPr>
          <w:sz w:val="16"/>
          <w:szCs w:val="16"/>
        </w:rPr>
      </w:pPr>
    </w:p>
    <w:tbl>
      <w:tblPr>
        <w:tblW w:w="9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73"/>
        <w:gridCol w:w="1464"/>
        <w:gridCol w:w="1702"/>
        <w:gridCol w:w="1165"/>
        <w:gridCol w:w="1263"/>
        <w:gridCol w:w="1624"/>
      </w:tblGrid>
      <w:tr w:rsidR="00142E34" w:rsidRPr="007C6859" w:rsidTr="0096458E">
        <w:trPr>
          <w:trHeight w:val="660"/>
        </w:trPr>
        <w:tc>
          <w:tcPr>
            <w:tcW w:w="2273" w:type="dxa"/>
            <w:vMerge w:val="restart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Культура</w:t>
            </w:r>
          </w:p>
        </w:tc>
        <w:tc>
          <w:tcPr>
            <w:tcW w:w="3166" w:type="dxa"/>
            <w:gridSpan w:val="2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Корни</w:t>
            </w:r>
          </w:p>
        </w:tc>
        <w:tc>
          <w:tcPr>
            <w:tcW w:w="4052" w:type="dxa"/>
            <w:gridSpan w:val="3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Корневые волоски</w:t>
            </w:r>
          </w:p>
        </w:tc>
      </w:tr>
      <w:tr w:rsidR="00142E34" w:rsidRPr="007C6859" w:rsidTr="0096458E">
        <w:trPr>
          <w:trHeight w:val="964"/>
        </w:trPr>
        <w:tc>
          <w:tcPr>
            <w:tcW w:w="2273" w:type="dxa"/>
            <w:vMerge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 xml:space="preserve">длина, </w:t>
            </w:r>
            <w:proofErr w:type="gramStart"/>
            <w:r w:rsidRPr="007C6859">
              <w:rPr>
                <w:sz w:val="30"/>
                <w:szCs w:val="30"/>
              </w:rPr>
              <w:t>м</w:t>
            </w:r>
            <w:proofErr w:type="gramEnd"/>
          </w:p>
        </w:tc>
        <w:tc>
          <w:tcPr>
            <w:tcW w:w="1702" w:type="dxa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поверхность, см</w:t>
            </w:r>
            <w:proofErr w:type="gramStart"/>
            <w:r w:rsidRPr="007C6859">
              <w:rPr>
                <w:sz w:val="30"/>
                <w:szCs w:val="30"/>
                <w:vertAlign w:val="superscript"/>
              </w:rPr>
              <w:t>2</w:t>
            </w:r>
            <w:proofErr w:type="gramEnd"/>
          </w:p>
        </w:tc>
        <w:tc>
          <w:tcPr>
            <w:tcW w:w="1165" w:type="dxa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 xml:space="preserve">число, </w:t>
            </w:r>
            <w:proofErr w:type="spellStart"/>
            <w:proofErr w:type="gramStart"/>
            <w:r w:rsidRPr="007C6859">
              <w:rPr>
                <w:sz w:val="30"/>
                <w:szCs w:val="30"/>
              </w:rPr>
              <w:t>млн</w:t>
            </w:r>
            <w:proofErr w:type="spellEnd"/>
            <w:proofErr w:type="gramEnd"/>
          </w:p>
        </w:tc>
        <w:tc>
          <w:tcPr>
            <w:tcW w:w="1263" w:type="dxa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 xml:space="preserve">длина, </w:t>
            </w:r>
            <w:proofErr w:type="gramStart"/>
            <w:r w:rsidRPr="007C6859">
              <w:rPr>
                <w:sz w:val="30"/>
                <w:szCs w:val="30"/>
              </w:rPr>
              <w:t>м</w:t>
            </w:r>
            <w:proofErr w:type="gramEnd"/>
          </w:p>
        </w:tc>
        <w:tc>
          <w:tcPr>
            <w:tcW w:w="1624" w:type="dxa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поверхность, см</w:t>
            </w:r>
            <w:proofErr w:type="gramStart"/>
            <w:r w:rsidRPr="007C6859">
              <w:rPr>
                <w:sz w:val="30"/>
                <w:szCs w:val="30"/>
                <w:vertAlign w:val="superscript"/>
              </w:rPr>
              <w:t>2</w:t>
            </w:r>
            <w:proofErr w:type="gramEnd"/>
          </w:p>
        </w:tc>
      </w:tr>
      <w:tr w:rsidR="00142E34" w:rsidRPr="007C6859" w:rsidTr="0096458E">
        <w:trPr>
          <w:trHeight w:val="1926"/>
        </w:trPr>
        <w:tc>
          <w:tcPr>
            <w:tcW w:w="2273" w:type="dxa"/>
            <w:shd w:val="clear" w:color="auto" w:fill="auto"/>
            <w:vAlign w:val="center"/>
          </w:tcPr>
          <w:p w:rsidR="00142E34" w:rsidRPr="007C6859" w:rsidRDefault="00142E34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Овес</w:t>
            </w:r>
          </w:p>
          <w:p w:rsidR="00142E34" w:rsidRPr="007C6859" w:rsidRDefault="00142E34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Рожь</w:t>
            </w:r>
          </w:p>
          <w:p w:rsidR="00142E34" w:rsidRPr="007C6859" w:rsidRDefault="00142E34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Соя</w:t>
            </w:r>
          </w:p>
          <w:p w:rsidR="00142E34" w:rsidRPr="007C6859" w:rsidRDefault="00142E34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Мятлик луговой</w:t>
            </w:r>
          </w:p>
        </w:tc>
        <w:tc>
          <w:tcPr>
            <w:tcW w:w="1464" w:type="dxa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4,6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6,4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2,9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38,4</w:t>
            </w:r>
          </w:p>
        </w:tc>
        <w:tc>
          <w:tcPr>
            <w:tcW w:w="1702" w:type="dxa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316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503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406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2129</w:t>
            </w:r>
          </w:p>
        </w:tc>
        <w:tc>
          <w:tcPr>
            <w:tcW w:w="1165" w:type="dxa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6,3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12,5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6,1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51,6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74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1549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60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5166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3419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7677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277</w:t>
            </w:r>
          </w:p>
          <w:p w:rsidR="00142E34" w:rsidRPr="007C6859" w:rsidRDefault="00142E34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15806</w:t>
            </w:r>
          </w:p>
        </w:tc>
      </w:tr>
    </w:tbl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Влияние корневой системы распространяется на большой объем почвы благодаря постоянному росту корней и возобновлению корневых волосков. Старые корневые волоски отмирают (живут несколько суток), а новые  непрерывно образуются уже на других участках растущего корешка. На участке же с отмершими корневыми волосками кожица </w:t>
      </w:r>
      <w:proofErr w:type="spellStart"/>
      <w:r w:rsidRPr="00E17257">
        <w:rPr>
          <w:sz w:val="30"/>
          <w:szCs w:val="30"/>
        </w:rPr>
        <w:t>пробковеет</w:t>
      </w:r>
      <w:proofErr w:type="spellEnd"/>
      <w:r w:rsidRPr="00E17257">
        <w:rPr>
          <w:sz w:val="30"/>
          <w:szCs w:val="30"/>
        </w:rPr>
        <w:t>, поступление воды и питательных веществ через нее затрудняется.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Скорость роста корней у однолетних полевых культур может достигать </w:t>
      </w:r>
      <w:smartTag w:uri="urn:schemas-microsoft-com:office:smarttags" w:element="metricconverter">
        <w:smartTagPr>
          <w:attr w:name="ProductID" w:val="1 см"/>
        </w:smartTagPr>
        <w:r w:rsidRPr="00E17257">
          <w:rPr>
            <w:sz w:val="30"/>
            <w:szCs w:val="30"/>
          </w:rPr>
          <w:t>1 см</w:t>
        </w:r>
      </w:smartTag>
      <w:r w:rsidRPr="00E17257">
        <w:rPr>
          <w:sz w:val="30"/>
          <w:szCs w:val="30"/>
        </w:rPr>
        <w:t xml:space="preserve"> в сутки. Растущие молодые корешки извлекают необходимые ионы из почвенного раствора на расстоянии от себя  до </w:t>
      </w:r>
      <w:smartTag w:uri="urn:schemas-microsoft-com:office:smarttags" w:element="metricconverter">
        <w:smartTagPr>
          <w:attr w:name="ProductID" w:val="20 мм"/>
        </w:smartTagPr>
        <w:r w:rsidRPr="00E17257">
          <w:rPr>
            <w:sz w:val="30"/>
            <w:szCs w:val="30"/>
          </w:rPr>
          <w:t>20 мм</w:t>
        </w:r>
      </w:smartTag>
      <w:r w:rsidRPr="00E17257">
        <w:rPr>
          <w:sz w:val="30"/>
          <w:szCs w:val="30"/>
        </w:rPr>
        <w:t>, а поглощенные почвой ионы до 2-</w:t>
      </w:r>
      <w:smartTag w:uri="urn:schemas-microsoft-com:office:smarttags" w:element="metricconverter">
        <w:smartTagPr>
          <w:attr w:name="ProductID" w:val="8 мм"/>
        </w:smartTagPr>
        <w:r w:rsidRPr="00E17257">
          <w:rPr>
            <w:sz w:val="30"/>
            <w:szCs w:val="30"/>
          </w:rPr>
          <w:t>8 мм</w:t>
        </w:r>
      </w:smartTag>
      <w:r w:rsidRPr="00E17257">
        <w:rPr>
          <w:sz w:val="30"/>
          <w:szCs w:val="30"/>
        </w:rPr>
        <w:t>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По мере нарастания корня происходит непрерывное пространственное перемещение зоны активного поглощения питательных элементов из почвы. При этом наблюдается явление хемотропизма, которое заключается в том, что корень растет в направлении расположения доступных форм питательных элементов (положительный хемотропизм) или рост </w:t>
      </w:r>
      <w:proofErr w:type="gramStart"/>
      <w:r w:rsidRPr="00E17257">
        <w:rPr>
          <w:sz w:val="30"/>
          <w:szCs w:val="30"/>
        </w:rPr>
        <w:t>тормозится в зоне</w:t>
      </w:r>
      <w:proofErr w:type="gramEnd"/>
      <w:r w:rsidRPr="00E17257">
        <w:rPr>
          <w:sz w:val="30"/>
          <w:szCs w:val="30"/>
        </w:rPr>
        <w:t xml:space="preserve"> повышенной, неблагоприятной для растений концентрации солей (отрицательный хемотропизм).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Необходимо отметить, что корень является не только органом поглощения, но и синтеза органических соединений, с том </w:t>
      </w:r>
      <w:proofErr w:type="gramStart"/>
      <w:r w:rsidRPr="00E17257">
        <w:rPr>
          <w:sz w:val="30"/>
          <w:szCs w:val="30"/>
        </w:rPr>
        <w:t>числе</w:t>
      </w:r>
      <w:proofErr w:type="gramEnd"/>
      <w:r w:rsidRPr="00E17257">
        <w:rPr>
          <w:sz w:val="30"/>
          <w:szCs w:val="30"/>
        </w:rPr>
        <w:t xml:space="preserve"> аминокислот и белков. Последние используются для обеспечения жизнедеятельности и процессов роста самой корневой системы, а также частично транспортируются в надземные органы. Основные положения синтетической деятельности корневой системы развил Д.А. </w:t>
      </w:r>
      <w:proofErr w:type="spellStart"/>
      <w:r w:rsidRPr="00E17257">
        <w:rPr>
          <w:sz w:val="30"/>
          <w:szCs w:val="30"/>
        </w:rPr>
        <w:t>Сабинин</w:t>
      </w:r>
      <w:proofErr w:type="spellEnd"/>
      <w:r w:rsidRPr="00E17257">
        <w:rPr>
          <w:sz w:val="30"/>
          <w:szCs w:val="30"/>
        </w:rPr>
        <w:t>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Основные положения его концепции сводятся к следующему: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1. Корень способен не только поглощать минеральные элементы, но и перерабатывать их полностью или частично и подавать в надземные органы в измененном виде.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2. Синтетическая деятельность корня осуществляется на основе </w:t>
      </w:r>
      <w:proofErr w:type="gramStart"/>
      <w:r w:rsidRPr="00E17257">
        <w:rPr>
          <w:sz w:val="30"/>
          <w:szCs w:val="30"/>
        </w:rPr>
        <w:t>притекающих</w:t>
      </w:r>
      <w:proofErr w:type="gramEnd"/>
      <w:r w:rsidRPr="00E17257">
        <w:rPr>
          <w:sz w:val="30"/>
          <w:szCs w:val="30"/>
        </w:rPr>
        <w:t xml:space="preserve"> в корни </w:t>
      </w:r>
      <w:proofErr w:type="spellStart"/>
      <w:r w:rsidRPr="00E17257">
        <w:rPr>
          <w:sz w:val="30"/>
          <w:szCs w:val="30"/>
        </w:rPr>
        <w:t>ассимилятов</w:t>
      </w:r>
      <w:proofErr w:type="spellEnd"/>
      <w:r w:rsidRPr="00E17257">
        <w:rPr>
          <w:sz w:val="30"/>
          <w:szCs w:val="30"/>
        </w:rPr>
        <w:t>, то есть зависит от фотосинтеза.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3. Корень оказывает воздействие на надземные органы путем не только обеспечения водой и минеральными элементами, но и продуктами специфических реакций обмена веществ, протекающих в корне – фитогормонами </w:t>
      </w:r>
      <w:proofErr w:type="spellStart"/>
      <w:r w:rsidRPr="00E17257">
        <w:rPr>
          <w:sz w:val="30"/>
          <w:szCs w:val="30"/>
        </w:rPr>
        <w:t>неауксиновой</w:t>
      </w:r>
      <w:proofErr w:type="spellEnd"/>
      <w:r w:rsidRPr="00E17257">
        <w:rPr>
          <w:sz w:val="30"/>
          <w:szCs w:val="30"/>
        </w:rPr>
        <w:t xml:space="preserve"> природы.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Среди ростовых веществ, обнаруженных в пасоке, в первую очередь следует назвать </w:t>
      </w:r>
      <w:proofErr w:type="spellStart"/>
      <w:r w:rsidRPr="00E17257">
        <w:rPr>
          <w:sz w:val="30"/>
          <w:szCs w:val="30"/>
          <w:u w:val="single"/>
        </w:rPr>
        <w:t>цитокинины</w:t>
      </w:r>
      <w:proofErr w:type="spellEnd"/>
      <w:r w:rsidRPr="00E17257">
        <w:rPr>
          <w:sz w:val="30"/>
          <w:szCs w:val="30"/>
          <w:u w:val="single"/>
        </w:rPr>
        <w:t>,</w:t>
      </w:r>
      <w:r w:rsidRPr="00E17257">
        <w:rPr>
          <w:sz w:val="30"/>
          <w:szCs w:val="30"/>
        </w:rPr>
        <w:t xml:space="preserve"> которые рассматриваются как фактор, способствующий интенсивному метаболизму листьев и задерживанию их старение. Вырабатываются они главным образом в корне и частично в листьях.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  <w:u w:val="single"/>
        </w:rPr>
        <w:t>Гиббереллины</w:t>
      </w:r>
      <w:r w:rsidRPr="00E17257">
        <w:rPr>
          <w:sz w:val="30"/>
          <w:szCs w:val="30"/>
        </w:rPr>
        <w:t xml:space="preserve"> являются необходимым фактором для роста стебля. Прекращение роста надземных органов при удалении коней связано не только с ухудшением поступления элементов питания и воды, но и с прекращением притока из корней </w:t>
      </w:r>
      <w:proofErr w:type="spellStart"/>
      <w:r w:rsidRPr="00E17257">
        <w:rPr>
          <w:sz w:val="30"/>
          <w:szCs w:val="30"/>
        </w:rPr>
        <w:t>цитокининов</w:t>
      </w:r>
      <w:proofErr w:type="spellEnd"/>
      <w:r w:rsidRPr="00E17257">
        <w:rPr>
          <w:sz w:val="30"/>
          <w:szCs w:val="30"/>
        </w:rPr>
        <w:t xml:space="preserve"> и гиббереллинов. Образование воздушных корней на стеблях и стволах растений можно объяснить необходимостью выработки </w:t>
      </w:r>
      <w:proofErr w:type="spellStart"/>
      <w:r w:rsidRPr="00E17257">
        <w:rPr>
          <w:sz w:val="30"/>
          <w:szCs w:val="30"/>
        </w:rPr>
        <w:t>цитокининов</w:t>
      </w:r>
      <w:proofErr w:type="spellEnd"/>
      <w:r w:rsidRPr="00E17257">
        <w:rPr>
          <w:sz w:val="30"/>
          <w:szCs w:val="30"/>
        </w:rPr>
        <w:t xml:space="preserve"> и гиббереллинов.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Контакт клеток растений с окружающей средой осуществляет цитоплазматическая мембрана (или плазмалемма), которая принимает участие во многих других функциях клетки. Она состоит из двух слоев </w:t>
      </w:r>
      <w:proofErr w:type="spellStart"/>
      <w:r w:rsidRPr="00E17257">
        <w:rPr>
          <w:sz w:val="30"/>
          <w:szCs w:val="30"/>
        </w:rPr>
        <w:t>фосфолипидов</w:t>
      </w:r>
      <w:proofErr w:type="spellEnd"/>
      <w:r w:rsidRPr="00E17257">
        <w:rPr>
          <w:sz w:val="30"/>
          <w:szCs w:val="30"/>
        </w:rPr>
        <w:t xml:space="preserve">, которые смыкаются гидрофобными концами. В определенных участках в молекулы </w:t>
      </w:r>
      <w:proofErr w:type="spellStart"/>
      <w:r w:rsidRPr="00E17257">
        <w:rPr>
          <w:sz w:val="30"/>
          <w:szCs w:val="30"/>
        </w:rPr>
        <w:t>фосфолипидов</w:t>
      </w:r>
      <w:proofErr w:type="spellEnd"/>
      <w:r w:rsidRPr="00E17257">
        <w:rPr>
          <w:sz w:val="30"/>
          <w:szCs w:val="30"/>
        </w:rPr>
        <w:t xml:space="preserve"> встроены белки, то есть плазмалемма представляет собой </w:t>
      </w:r>
      <w:proofErr w:type="spellStart"/>
      <w:r w:rsidRPr="00E17257">
        <w:rPr>
          <w:sz w:val="30"/>
          <w:szCs w:val="30"/>
        </w:rPr>
        <w:t>биомолекулярный</w:t>
      </w:r>
      <w:proofErr w:type="spellEnd"/>
      <w:r w:rsidRPr="00E17257">
        <w:rPr>
          <w:sz w:val="30"/>
          <w:szCs w:val="30"/>
        </w:rPr>
        <w:t xml:space="preserve"> фосфолипидный слой со встроенными молекулами белков-переносчиков.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Фосфолипидные молекулы имеют полярные «головки» (гидрофильные группы) и неполярные «хвосты» (длинные углеводородные гидрофобные остатки). </w:t>
      </w:r>
      <w:proofErr w:type="gramStart"/>
      <w:r w:rsidRPr="00E17257">
        <w:rPr>
          <w:sz w:val="30"/>
          <w:szCs w:val="30"/>
        </w:rPr>
        <w:t>Они плохо растворяются как в полярном растворителе – воде (мешают неполярные «хвосты»), так и в неполярной среде – масле (мешают полярные «головки».</w:t>
      </w:r>
      <w:proofErr w:type="gramEnd"/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Цитоплазматическая мембрана имеет толщину 10-12 нм (1нм = 1∙10</w:t>
      </w:r>
      <w:r w:rsidRPr="00E17257">
        <w:rPr>
          <w:sz w:val="30"/>
          <w:szCs w:val="30"/>
          <w:vertAlign w:val="superscript"/>
        </w:rPr>
        <w:t>-</w:t>
      </w:r>
      <w:smartTag w:uri="urn:schemas-microsoft-com:office:smarttags" w:element="metricconverter">
        <w:smartTagPr>
          <w:attr w:name="ProductID" w:val="9 м"/>
        </w:smartTagPr>
        <w:r w:rsidRPr="00E17257">
          <w:rPr>
            <w:sz w:val="30"/>
            <w:szCs w:val="30"/>
            <w:vertAlign w:val="superscript"/>
          </w:rPr>
          <w:t>9</w:t>
        </w:r>
        <w:r w:rsidRPr="00E17257">
          <w:rPr>
            <w:sz w:val="30"/>
            <w:szCs w:val="30"/>
          </w:rPr>
          <w:t xml:space="preserve"> м</w:t>
        </w:r>
      </w:smartTag>
      <w:r w:rsidRPr="00E17257">
        <w:rPr>
          <w:sz w:val="30"/>
          <w:szCs w:val="30"/>
        </w:rPr>
        <w:t>) и является не только барьером, но и местом, где происходит вовлечение поглощенных ионов в различные реакции обмена веществ. Через мембрану любой клетки зоны поглощения корня одновременно проникают сотни различных веществ, растворимые не только жирах, но и в воде.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Теория поглощения питательных элементов. К настоящему времени утвердилось представление о том, что транспорт питательных элементов в клетку обеспечивается двумя автономными механизмами – пассивным током веществ по электрохимическому градиенту и их активным переносом против электрохимического градиента.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Ионы несут электрический заряд, поэтому их распределение между клеткой и средой определяется как разностью электрических потенциалов, так и разностью концентрации. Суммарно эти две величины принято обозначать как электрический градиент.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Вероятно, у растений имеется несколько поглотительных механизмов, постоянно меняющееся </w:t>
      </w:r>
      <w:proofErr w:type="gramStart"/>
      <w:r w:rsidRPr="00E17257">
        <w:rPr>
          <w:sz w:val="30"/>
          <w:szCs w:val="30"/>
        </w:rPr>
        <w:t>сочетание</w:t>
      </w:r>
      <w:proofErr w:type="gramEnd"/>
      <w:r w:rsidRPr="00E17257">
        <w:rPr>
          <w:sz w:val="30"/>
          <w:szCs w:val="30"/>
        </w:rPr>
        <w:t xml:space="preserve"> которых обусловливает течение всего процесса, причем один механизм дополняет другой.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Диффузия – передвижение молекул газов жидкостей или растворенного вещества по градиенту концентрации – от большей концентрации </w:t>
      </w:r>
      <w:proofErr w:type="gramStart"/>
      <w:r w:rsidRPr="00E17257">
        <w:rPr>
          <w:sz w:val="30"/>
          <w:szCs w:val="30"/>
        </w:rPr>
        <w:t>к</w:t>
      </w:r>
      <w:proofErr w:type="gramEnd"/>
      <w:r w:rsidRPr="00E17257">
        <w:rPr>
          <w:sz w:val="30"/>
          <w:szCs w:val="30"/>
        </w:rPr>
        <w:t xml:space="preserve"> меньшей.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Свободное пространство – часть общего объема тканей коневой системы, в которую ионы поступают и из которой выделяются вследствие диффузии. Оно составляет около 4-6% общего объема корня и локализовано в рыхлой первичной оболочке клеточных стенок снаружи от плазмолеммы.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Свободное пространство делится на два вида: «водное пространство» и </w:t>
      </w:r>
      <w:proofErr w:type="spellStart"/>
      <w:r w:rsidRPr="00E17257">
        <w:rPr>
          <w:sz w:val="30"/>
          <w:szCs w:val="30"/>
        </w:rPr>
        <w:t>доннатовское</w:t>
      </w:r>
      <w:proofErr w:type="spellEnd"/>
      <w:r w:rsidRPr="00E17257">
        <w:rPr>
          <w:sz w:val="30"/>
          <w:szCs w:val="30"/>
        </w:rPr>
        <w:t xml:space="preserve"> пространство». «Водное пространство» локализовано в центральной части каналов, в нем концентрация ионов равна концентрации наружного раствора, поэтому отсюда ионы свободно могут переходить путем диффузии в воду.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«</w:t>
      </w:r>
      <w:proofErr w:type="spellStart"/>
      <w:r w:rsidRPr="00E17257">
        <w:rPr>
          <w:sz w:val="30"/>
          <w:szCs w:val="30"/>
        </w:rPr>
        <w:t>Доннатовское</w:t>
      </w:r>
      <w:proofErr w:type="spellEnd"/>
      <w:r w:rsidRPr="00E17257">
        <w:rPr>
          <w:sz w:val="30"/>
          <w:szCs w:val="30"/>
        </w:rPr>
        <w:t xml:space="preserve"> пространство» локализовано ближе к стенкам клеток, где катионы концентрируются вследствие отрицательного заряда стенок и из которого катионы путем обмена выделяются только в солевой раствор.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Известно, что клеточные стенки растений легко проницаемы, потому что радиус ионов минеральных солей составляет 0,4-0,6 нм (1 нм = 10</w:t>
      </w:r>
      <w:r w:rsidRPr="00E17257">
        <w:rPr>
          <w:sz w:val="30"/>
          <w:szCs w:val="30"/>
          <w:vertAlign w:val="superscript"/>
        </w:rPr>
        <w:t>-</w:t>
      </w:r>
      <w:smartTag w:uri="urn:schemas-microsoft-com:office:smarttags" w:element="metricconverter">
        <w:smartTagPr>
          <w:attr w:name="ProductID" w:val="9 м"/>
        </w:smartTagPr>
        <w:r w:rsidRPr="00E17257">
          <w:rPr>
            <w:sz w:val="30"/>
            <w:szCs w:val="30"/>
            <w:vertAlign w:val="superscript"/>
          </w:rPr>
          <w:t>9</w:t>
        </w:r>
        <w:r w:rsidRPr="00E17257">
          <w:rPr>
            <w:sz w:val="30"/>
            <w:szCs w:val="30"/>
          </w:rPr>
          <w:t xml:space="preserve"> м</w:t>
        </w:r>
      </w:smartTag>
      <w:r w:rsidRPr="00E17257">
        <w:rPr>
          <w:sz w:val="30"/>
          <w:szCs w:val="30"/>
        </w:rPr>
        <w:t>), тогда как радиус каналов клеточных стенок 5-20 нм.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Свободное пространство является тем участком питательных среды и зоной поглощения, из которой жизнедеятельная часть клетки черпает необходимые элементы питания.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Однако поступление питательных элементов в свободное пространство правильнее рассматривать не как их поглощение, а как первый подготовительный этап поглощения.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Первым этапом поглощения является адсорбция ионов на наружной поверхности цитоплазматической мембраны (плазмалеммы), которая состоит из двух слоев </w:t>
      </w:r>
      <w:proofErr w:type="spellStart"/>
      <w:r w:rsidRPr="00E17257">
        <w:rPr>
          <w:sz w:val="30"/>
          <w:szCs w:val="30"/>
        </w:rPr>
        <w:t>фосфолипидов</w:t>
      </w:r>
      <w:proofErr w:type="spellEnd"/>
      <w:r w:rsidRPr="00E17257">
        <w:rPr>
          <w:sz w:val="30"/>
          <w:szCs w:val="30"/>
        </w:rPr>
        <w:t>, между которыми встроены молекулы белков. Благодаря такой мозаичной структуре отдельные участки цитоплазматической мембраны имеют отрицательные и положительные заряды, за счет которых может происходить одновременно адсорбция катионов и анионов из наружной среды в обмен на другие ионы.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Обменным фондом катионов и анионов у </w:t>
      </w:r>
      <w:proofErr w:type="spellStart"/>
      <w:r w:rsidRPr="00E17257">
        <w:rPr>
          <w:sz w:val="30"/>
          <w:szCs w:val="30"/>
        </w:rPr>
        <w:t>растенй</w:t>
      </w:r>
      <w:proofErr w:type="spellEnd"/>
      <w:r w:rsidRPr="00E17257">
        <w:rPr>
          <w:sz w:val="30"/>
          <w:szCs w:val="30"/>
        </w:rPr>
        <w:t xml:space="preserve"> могут являться ионы Н</w:t>
      </w:r>
      <w:r w:rsidRPr="00E17257">
        <w:rPr>
          <w:sz w:val="30"/>
          <w:szCs w:val="30"/>
          <w:vertAlign w:val="superscript"/>
        </w:rPr>
        <w:t>+</w:t>
      </w:r>
      <w:r w:rsidRPr="00E17257">
        <w:rPr>
          <w:sz w:val="30"/>
          <w:szCs w:val="30"/>
        </w:rPr>
        <w:t xml:space="preserve"> О</w:t>
      </w:r>
      <w:proofErr w:type="gramStart"/>
      <w:r w:rsidRPr="00E17257">
        <w:rPr>
          <w:sz w:val="30"/>
          <w:szCs w:val="30"/>
        </w:rPr>
        <w:t>Н</w:t>
      </w:r>
      <w:r w:rsidRPr="00E17257">
        <w:rPr>
          <w:sz w:val="30"/>
          <w:szCs w:val="30"/>
          <w:vertAlign w:val="superscript"/>
        </w:rPr>
        <w:t>-</w:t>
      </w:r>
      <w:proofErr w:type="gramEnd"/>
      <w:r w:rsidRPr="00E17257">
        <w:rPr>
          <w:sz w:val="30"/>
          <w:szCs w:val="30"/>
        </w:rPr>
        <w:t>, а также Н</w:t>
      </w:r>
      <w:r w:rsidRPr="00E17257">
        <w:rPr>
          <w:sz w:val="30"/>
          <w:szCs w:val="30"/>
          <w:vertAlign w:val="superscript"/>
        </w:rPr>
        <w:t>+</w:t>
      </w:r>
      <w:r w:rsidRPr="00E17257">
        <w:rPr>
          <w:sz w:val="30"/>
          <w:szCs w:val="30"/>
        </w:rPr>
        <w:t xml:space="preserve"> и НСО</w:t>
      </w:r>
      <w:r w:rsidRPr="00E17257">
        <w:rPr>
          <w:sz w:val="30"/>
          <w:szCs w:val="30"/>
          <w:vertAlign w:val="subscript"/>
        </w:rPr>
        <w:t>3</w:t>
      </w:r>
      <w:r w:rsidRPr="00E17257">
        <w:rPr>
          <w:sz w:val="30"/>
          <w:szCs w:val="30"/>
          <w:vertAlign w:val="superscript"/>
        </w:rPr>
        <w:t>-</w:t>
      </w:r>
      <w:r w:rsidRPr="00E17257">
        <w:rPr>
          <w:sz w:val="30"/>
          <w:szCs w:val="30"/>
        </w:rPr>
        <w:t>, образующиеся при диссоциации угольной кислоты, выделяемое при дыхании.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>Адсорбция ионов на поверхности плазмолеммы носит обменный характер и не требует затрат энергии. В обмене принимают участие не только ионы почвенного раствора, но и ионы поглощенные почвенными коллоидами.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r w:rsidRPr="00E17257">
        <w:rPr>
          <w:sz w:val="30"/>
          <w:szCs w:val="30"/>
        </w:rPr>
        <w:t xml:space="preserve">Транспорт адсорбированных ионов с наружной стороны плазмолеммы на </w:t>
      </w:r>
      <w:proofErr w:type="gramStart"/>
      <w:r w:rsidRPr="00E17257">
        <w:rPr>
          <w:sz w:val="30"/>
          <w:szCs w:val="30"/>
        </w:rPr>
        <w:t>внутреннюю</w:t>
      </w:r>
      <w:proofErr w:type="gramEnd"/>
      <w:r w:rsidRPr="00E17257">
        <w:rPr>
          <w:sz w:val="30"/>
          <w:szCs w:val="30"/>
        </w:rPr>
        <w:t xml:space="preserve"> против электрохимического градиента требует обязательной затраты энергии. Такая «активная» перекачка осуществляется с участием специальных «переносчиков» и так называемых ионных насосов, в функционировании которых важная роль принадлежит белкам, обладающих </w:t>
      </w:r>
      <w:proofErr w:type="spellStart"/>
      <w:r w:rsidRPr="00E17257">
        <w:rPr>
          <w:sz w:val="30"/>
          <w:szCs w:val="30"/>
        </w:rPr>
        <w:t>АТФ-азной</w:t>
      </w:r>
      <w:proofErr w:type="spellEnd"/>
      <w:r w:rsidRPr="00E17257">
        <w:rPr>
          <w:sz w:val="30"/>
          <w:szCs w:val="30"/>
        </w:rPr>
        <w:t xml:space="preserve"> активности.</w:t>
      </w:r>
    </w:p>
    <w:p w:rsidR="00142E34" w:rsidRPr="00E17257" w:rsidRDefault="00142E34" w:rsidP="00142E34">
      <w:pPr>
        <w:ind w:firstLine="708"/>
        <w:jc w:val="both"/>
        <w:rPr>
          <w:sz w:val="30"/>
          <w:szCs w:val="30"/>
        </w:rPr>
      </w:pPr>
      <w:proofErr w:type="gramStart"/>
      <w:r w:rsidRPr="00E17257">
        <w:rPr>
          <w:sz w:val="30"/>
          <w:szCs w:val="30"/>
        </w:rPr>
        <w:t xml:space="preserve">Специфика поступления различных ионов, известная в настоящее время, утверждает наличие только </w:t>
      </w:r>
      <w:proofErr w:type="spellStart"/>
      <w:r w:rsidRPr="00E17257">
        <w:rPr>
          <w:sz w:val="30"/>
          <w:szCs w:val="30"/>
        </w:rPr>
        <w:t>калий-натриевого</w:t>
      </w:r>
      <w:proofErr w:type="spellEnd"/>
      <w:r w:rsidRPr="00E17257">
        <w:rPr>
          <w:sz w:val="30"/>
          <w:szCs w:val="30"/>
        </w:rPr>
        <w:t xml:space="preserve"> и протонного ионных насосов.</w:t>
      </w:r>
      <w:proofErr w:type="gramEnd"/>
      <w:r w:rsidRPr="00E17257">
        <w:rPr>
          <w:sz w:val="30"/>
          <w:szCs w:val="30"/>
        </w:rPr>
        <w:t xml:space="preserve"> </w:t>
      </w:r>
      <w:proofErr w:type="spellStart"/>
      <w:r w:rsidRPr="00E17257">
        <w:rPr>
          <w:sz w:val="30"/>
          <w:szCs w:val="30"/>
        </w:rPr>
        <w:t>Калий-натриевый</w:t>
      </w:r>
      <w:proofErr w:type="spellEnd"/>
      <w:r w:rsidRPr="00E17257">
        <w:rPr>
          <w:sz w:val="30"/>
          <w:szCs w:val="30"/>
        </w:rPr>
        <w:t xml:space="preserve"> ионный насос – это специфический фермент калий натриевая </w:t>
      </w:r>
      <w:proofErr w:type="spellStart"/>
      <w:r w:rsidRPr="00E17257">
        <w:rPr>
          <w:sz w:val="30"/>
          <w:szCs w:val="30"/>
        </w:rPr>
        <w:t>АТФ-аза</w:t>
      </w:r>
      <w:proofErr w:type="spellEnd"/>
      <w:r w:rsidRPr="00E17257">
        <w:rPr>
          <w:sz w:val="30"/>
          <w:szCs w:val="30"/>
        </w:rPr>
        <w:t xml:space="preserve">, который осуществляет выкачивание из клеток ионов </w:t>
      </w:r>
      <w:r w:rsidRPr="00E17257">
        <w:rPr>
          <w:sz w:val="30"/>
          <w:szCs w:val="30"/>
          <w:lang w:val="en-US"/>
        </w:rPr>
        <w:t>N</w:t>
      </w:r>
      <w:proofErr w:type="spellStart"/>
      <w:r w:rsidRPr="00E17257">
        <w:rPr>
          <w:sz w:val="30"/>
          <w:szCs w:val="30"/>
        </w:rPr>
        <w:t>а</w:t>
      </w:r>
      <w:r w:rsidRPr="00E17257">
        <w:rPr>
          <w:sz w:val="30"/>
          <w:szCs w:val="30"/>
          <w:vertAlign w:val="superscript"/>
        </w:rPr>
        <w:t>+</w:t>
      </w:r>
      <w:proofErr w:type="spellEnd"/>
      <w:r w:rsidRPr="00E17257">
        <w:rPr>
          <w:sz w:val="30"/>
          <w:szCs w:val="30"/>
        </w:rPr>
        <w:t xml:space="preserve"> и вхождение ионов</w:t>
      </w:r>
      <w:proofErr w:type="gramStart"/>
      <w:r w:rsidRPr="00E17257">
        <w:rPr>
          <w:sz w:val="30"/>
          <w:szCs w:val="30"/>
        </w:rPr>
        <w:t xml:space="preserve"> К</w:t>
      </w:r>
      <w:proofErr w:type="gramEnd"/>
      <w:r w:rsidRPr="00E17257">
        <w:rPr>
          <w:sz w:val="30"/>
          <w:szCs w:val="30"/>
        </w:rPr>
        <w:t xml:space="preserve">+. </w:t>
      </w:r>
    </w:p>
    <w:p w:rsidR="00142E34" w:rsidRPr="00D11D29" w:rsidRDefault="00142E34" w:rsidP="00142E34">
      <w:pPr>
        <w:ind w:firstLine="708"/>
        <w:jc w:val="both"/>
        <w:rPr>
          <w:sz w:val="16"/>
          <w:szCs w:val="16"/>
        </w:rPr>
      </w:pPr>
    </w:p>
    <w:p w:rsidR="00142E34" w:rsidRPr="00DF3062" w:rsidRDefault="00142E34" w:rsidP="00E35DD1">
      <w:pPr>
        <w:ind w:firstLine="708"/>
        <w:rPr>
          <w:b/>
          <w:sz w:val="28"/>
          <w:szCs w:val="28"/>
        </w:rPr>
      </w:pPr>
    </w:p>
    <w:p w:rsidR="00142E34" w:rsidRDefault="00142E34" w:rsidP="00142E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Проверка посещаемости</w:t>
      </w:r>
    </w:p>
    <w:p w:rsidR="00142E34" w:rsidRDefault="00142E34" w:rsidP="00142E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Вопросы по предыдущей лекции:</w:t>
      </w:r>
    </w:p>
    <w:p w:rsidR="00142E34" w:rsidRDefault="00142E34" w:rsidP="00142E3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В чем заключается воздушное питание растений?</w:t>
      </w:r>
    </w:p>
    <w:p w:rsidR="00142E34" w:rsidRDefault="00142E34" w:rsidP="00142E3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Какие основные типы питания существуют?</w:t>
      </w:r>
    </w:p>
    <w:p w:rsidR="00142E34" w:rsidRDefault="00142E34" w:rsidP="00142E3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Какова роль корня в поглощении элементов питания?</w:t>
      </w:r>
    </w:p>
    <w:p w:rsidR="00142E34" w:rsidRDefault="00142E34" w:rsidP="00142E3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Какая роль принадлежит корневым волоскам в корневом питании растений?</w:t>
      </w:r>
    </w:p>
    <w:p w:rsidR="00142E34" w:rsidRDefault="00142E34" w:rsidP="00142E34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Перечислите основные этапы поглощения ионов корневой системы растений?</w:t>
      </w:r>
    </w:p>
    <w:p w:rsidR="00142E34" w:rsidRDefault="00142E34" w:rsidP="00142E3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</w:p>
    <w:p w:rsidR="00142E34" w:rsidRDefault="00142E34" w:rsidP="00142E34">
      <w:pPr>
        <w:jc w:val="both"/>
        <w:rPr>
          <w:sz w:val="28"/>
          <w:szCs w:val="28"/>
        </w:rPr>
      </w:pPr>
    </w:p>
    <w:p w:rsidR="00142E34" w:rsidRDefault="00142E34" w:rsidP="00142E34">
      <w:pPr>
        <w:jc w:val="both"/>
        <w:rPr>
          <w:sz w:val="28"/>
          <w:szCs w:val="28"/>
        </w:rPr>
      </w:pPr>
    </w:p>
    <w:p w:rsidR="00142E34" w:rsidRDefault="00142E34" w:rsidP="00142E34">
      <w:pPr>
        <w:jc w:val="both"/>
        <w:rPr>
          <w:sz w:val="28"/>
          <w:szCs w:val="28"/>
        </w:rPr>
      </w:pPr>
    </w:p>
    <w:p w:rsidR="00142E34" w:rsidRDefault="00142E34" w:rsidP="00142E34">
      <w:pPr>
        <w:jc w:val="both"/>
        <w:rPr>
          <w:sz w:val="28"/>
          <w:szCs w:val="28"/>
        </w:rPr>
      </w:pPr>
    </w:p>
    <w:p w:rsidR="00142E34" w:rsidRDefault="00142E34" w:rsidP="00142E34">
      <w:pPr>
        <w:jc w:val="both"/>
        <w:rPr>
          <w:sz w:val="28"/>
          <w:szCs w:val="28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B464A"/>
    <w:multiLevelType w:val="hybridMultilevel"/>
    <w:tmpl w:val="55E498FE"/>
    <w:lvl w:ilvl="0" w:tplc="44061F6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savePreviewPicture/>
  <w:compat/>
  <w:rsids>
    <w:rsidRoot w:val="00142E34"/>
    <w:rsid w:val="00142E34"/>
    <w:rsid w:val="002C1C26"/>
    <w:rsid w:val="004340D4"/>
    <w:rsid w:val="00780F54"/>
    <w:rsid w:val="00BB2E30"/>
    <w:rsid w:val="00E35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2623</Words>
  <Characters>14952</Characters>
  <Application>Microsoft Office Word</Application>
  <DocSecurity>0</DocSecurity>
  <Lines>124</Lines>
  <Paragraphs>35</Paragraphs>
  <ScaleCrop>false</ScaleCrop>
  <Company/>
  <LinksUpToDate>false</LinksUpToDate>
  <CharactersWithSpaces>17540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2021-01-22T18:14:00Z</dcterms:created>
  <dcterms:modified xsi:type="dcterms:W3CDTF">2021-01-22T18:30:00Z</dcterms:modified>
</cp:coreProperties>
</file>